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7CB" w:rsidRDefault="00A427CB">
      <w:pPr>
        <w:pStyle w:val="PreformattedText"/>
        <w:jc w:val="both"/>
      </w:pPr>
      <w:bookmarkStart w:id="0" w:name="_GoBack"/>
      <w:bookmarkEnd w:id="0"/>
      <w:r>
        <w:rPr>
          <w:sz w:val="24"/>
          <w:szCs w:val="24"/>
        </w:rPr>
        <w:t xml:space="preserve"> </w:t>
      </w:r>
    </w:p>
    <w:p w:rsidR="00A427CB" w:rsidRDefault="00A427CB">
      <w:pPr>
        <w:pStyle w:val="PreformattedText"/>
        <w:jc w:val="both"/>
        <w:rPr>
          <w:sz w:val="24"/>
          <w:szCs w:val="24"/>
        </w:rPr>
      </w:pPr>
    </w:p>
    <w:p w:rsidR="00A427CB" w:rsidRDefault="00A427CB">
      <w:pPr>
        <w:pStyle w:val="PreformattedText"/>
        <w:jc w:val="center"/>
      </w:pPr>
      <w:r>
        <w:rPr>
          <w:b/>
          <w:bCs/>
          <w:sz w:val="24"/>
          <w:szCs w:val="24"/>
        </w:rPr>
        <w:t xml:space="preserve">VII Curso de pós-graduação </w:t>
      </w:r>
    </w:p>
    <w:p w:rsidR="00A427CB" w:rsidRDefault="00A427CB">
      <w:pPr>
        <w:pStyle w:val="PreformattedText"/>
        <w:jc w:val="center"/>
      </w:pPr>
      <w:r>
        <w:rPr>
          <w:b/>
          <w:bCs/>
          <w:sz w:val="24"/>
          <w:szCs w:val="24"/>
        </w:rPr>
        <w:t xml:space="preserve">Direito Internacional Humanitário e Direitos Humanos em situações de conflito </w:t>
      </w:r>
    </w:p>
    <w:p w:rsidR="00A427CB" w:rsidRDefault="00A427CB">
      <w:pPr>
        <w:pStyle w:val="PreformattedText"/>
        <w:jc w:val="center"/>
      </w:pPr>
      <w:r>
        <w:rPr>
          <w:sz w:val="24"/>
          <w:szCs w:val="24"/>
        </w:rPr>
        <w:t xml:space="preserve">Instituto de Ciências Jurídico-Políticas, FDL </w:t>
      </w:r>
    </w:p>
    <w:p w:rsidR="00A427CB" w:rsidRDefault="00A427CB">
      <w:pPr>
        <w:pStyle w:val="PreformattedText"/>
        <w:jc w:val="center"/>
      </w:pPr>
      <w:r>
        <w:rPr>
          <w:sz w:val="24"/>
          <w:szCs w:val="24"/>
        </w:rPr>
        <w:t xml:space="preserve">Instituto de Direito Europeu, FDL </w:t>
      </w:r>
    </w:p>
    <w:p w:rsidR="00A427CB" w:rsidRDefault="00A427CB">
      <w:pPr>
        <w:pStyle w:val="PreformattedText"/>
        <w:jc w:val="center"/>
      </w:pPr>
      <w:r>
        <w:rPr>
          <w:sz w:val="24"/>
          <w:szCs w:val="24"/>
        </w:rPr>
        <w:t xml:space="preserve">Instituto de Defesa Nacional </w:t>
      </w:r>
    </w:p>
    <w:p w:rsidR="00A427CB" w:rsidRDefault="00A427CB">
      <w:pPr>
        <w:pStyle w:val="PreformattedText"/>
        <w:jc w:val="both"/>
        <w:rPr>
          <w:sz w:val="24"/>
          <w:szCs w:val="24"/>
        </w:rPr>
      </w:pPr>
    </w:p>
    <w:p w:rsidR="00A427CB" w:rsidRDefault="00A427CB">
      <w:pPr>
        <w:pStyle w:val="PreformattedText"/>
        <w:jc w:val="both"/>
      </w:pPr>
      <w:r>
        <w:rPr>
          <w:sz w:val="24"/>
          <w:szCs w:val="24"/>
        </w:rPr>
        <w:t xml:space="preserve">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Coordenadores Científicos: Rui Guerra da Fonseca e Mário João de Brito Fernandes </w:t>
      </w:r>
    </w:p>
    <w:p w:rsidR="00A427CB" w:rsidRDefault="00A427CB">
      <w:pPr>
        <w:pStyle w:val="PreformattedText"/>
        <w:jc w:val="both"/>
      </w:pPr>
      <w:r>
        <w:rPr>
          <w:sz w:val="24"/>
          <w:szCs w:val="24"/>
        </w:rPr>
        <w:tab/>
        <w:t xml:space="preserve">Coordenadores do Curso: </w:t>
      </w:r>
    </w:p>
    <w:p w:rsidR="00A427CB" w:rsidRDefault="00A427CB">
      <w:pPr>
        <w:pStyle w:val="PreformattedText"/>
        <w:jc w:val="both"/>
      </w:pPr>
      <w:r>
        <w:rPr>
          <w:sz w:val="24"/>
          <w:szCs w:val="24"/>
        </w:rPr>
        <w:tab/>
        <w:t xml:space="preserve">ICJP – Rui Guerra da Fonseca, Mário João de Brito Fernandes e João Tiago Silveira </w:t>
      </w:r>
    </w:p>
    <w:p w:rsidR="00A427CB" w:rsidRDefault="00A427CB">
      <w:pPr>
        <w:pStyle w:val="PreformattedText"/>
        <w:jc w:val="both"/>
      </w:pPr>
      <w:r>
        <w:rPr>
          <w:sz w:val="24"/>
          <w:szCs w:val="24"/>
        </w:rPr>
        <w:tab/>
        <w:t xml:space="preserve">IE – Nuno Cunha Rodrigues </w:t>
      </w:r>
    </w:p>
    <w:p w:rsidR="00A427CB" w:rsidRDefault="00A427CB">
      <w:pPr>
        <w:pStyle w:val="PreformattedText"/>
        <w:jc w:val="both"/>
      </w:pPr>
      <w:r>
        <w:rPr>
          <w:sz w:val="24"/>
          <w:szCs w:val="24"/>
        </w:rPr>
        <w:tab/>
        <w:t xml:space="preserve">IDN </w:t>
      </w:r>
      <w:r w:rsidR="009068B6">
        <w:rPr>
          <w:sz w:val="24"/>
          <w:szCs w:val="24"/>
        </w:rPr>
        <w:t>– Alberto</w:t>
      </w:r>
      <w:r>
        <w:rPr>
          <w:sz w:val="24"/>
          <w:szCs w:val="24"/>
        </w:rPr>
        <w:t xml:space="preserve"> Marinheiro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Aulas às segundas-feiras, 18h00/19h30 – 19h45/21h15 </w:t>
      </w:r>
    </w:p>
    <w:p w:rsidR="00A427CB" w:rsidRDefault="00A427CB">
      <w:pPr>
        <w:pStyle w:val="PreformattedText"/>
        <w:jc w:val="both"/>
        <w:rPr>
          <w:sz w:val="24"/>
          <w:szCs w:val="24"/>
        </w:rPr>
      </w:pPr>
    </w:p>
    <w:p w:rsidR="00A427CB" w:rsidRDefault="00A427CB">
      <w:pPr>
        <w:pStyle w:val="PreformattedText"/>
        <w:jc w:val="both"/>
        <w:rPr>
          <w:sz w:val="24"/>
          <w:szCs w:val="24"/>
        </w:rPr>
      </w:pPr>
    </w:p>
    <w:p w:rsidR="00A427CB" w:rsidRDefault="00A427CB">
      <w:pPr>
        <w:pStyle w:val="PreformattedText"/>
        <w:jc w:val="both"/>
      </w:pPr>
      <w:r>
        <w:rPr>
          <w:sz w:val="24"/>
          <w:szCs w:val="24"/>
        </w:rPr>
        <w:tab/>
      </w:r>
      <w:r>
        <w:rPr>
          <w:b/>
          <w:bCs/>
          <w:sz w:val="24"/>
          <w:szCs w:val="24"/>
        </w:rPr>
        <w:t xml:space="preserve">Apresentação: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A multiplicação de conflitos armados tem posto à prova a aplicação dos regimes de direito humanitário e dos direitos humanos. A aplicação prática do </w:t>
      </w:r>
      <w:r>
        <w:rPr>
          <w:i/>
          <w:iCs/>
          <w:sz w:val="24"/>
          <w:szCs w:val="24"/>
        </w:rPr>
        <w:t>jus ad bellum</w:t>
      </w:r>
      <w:r>
        <w:rPr>
          <w:sz w:val="24"/>
          <w:szCs w:val="24"/>
        </w:rPr>
        <w:t xml:space="preserve"> mostra, com demasiada frequência, as limitações do sistema da Organização das Nações Unidas no que respeita ao controlo político do uso da força pelo Conselho de Segurança. Mas são os actuais limites do </w:t>
      </w:r>
      <w:r>
        <w:rPr>
          <w:i/>
          <w:iCs/>
          <w:sz w:val="24"/>
          <w:szCs w:val="24"/>
        </w:rPr>
        <w:t>jus in bello</w:t>
      </w:r>
      <w:r>
        <w:rPr>
          <w:sz w:val="24"/>
          <w:szCs w:val="24"/>
        </w:rPr>
        <w:t xml:space="preserve"> que suscitam maiores dificuldades. As violações “clássicas” das normas de direito humanitário, cada vez mais frequentes, são acompanhadas pelas insuficiências do quadro normativo internacional no acompanhamento das novas realidades tecnológicas seja a agressão por via cibernética seja a utilização de drones para a eliminação de pessoas e a destruição de bens ou o aparecimento de robots assassinos (</w:t>
      </w:r>
      <w:r>
        <w:rPr>
          <w:i/>
          <w:iCs/>
          <w:sz w:val="24"/>
          <w:szCs w:val="24"/>
        </w:rPr>
        <w:t>killer robots</w:t>
      </w:r>
      <w:r>
        <w:rPr>
          <w:sz w:val="24"/>
          <w:szCs w:val="24"/>
        </w:rPr>
        <w:t xml:space="preserve"> como </w:t>
      </w:r>
      <w:r>
        <w:rPr>
          <w:i/>
          <w:iCs/>
          <w:sz w:val="24"/>
          <w:szCs w:val="24"/>
        </w:rPr>
        <w:t>lethal autonomous weapons</w:t>
      </w:r>
      <w:r>
        <w:rPr>
          <w:sz w:val="24"/>
          <w:szCs w:val="24"/>
        </w:rPr>
        <w:t xml:space="preserve">). Em contraponto a esta situação, vários Estados atribuíram-se uma competência penal universal para julgar as violações do direito humanitário ao mesmo tempo que o Tribunal Penal Internacional tem desenvolvido uma jurisprudência ambiciosa no que respeita aos diversos tipos penais que integram o Estatuto de Roma. Esta </w:t>
      </w:r>
      <w:r>
        <w:rPr>
          <w:i/>
          <w:iCs/>
          <w:sz w:val="24"/>
          <w:szCs w:val="24"/>
        </w:rPr>
        <w:t>magna carta</w:t>
      </w:r>
      <w:r>
        <w:rPr>
          <w:sz w:val="24"/>
          <w:szCs w:val="24"/>
        </w:rPr>
        <w:t xml:space="preserve"> recebeu recentemente o tipo penal do crime de agressão estando em curso tentativas de codificação de um novo tipo de crime para tutela de danos ambientais.</w:t>
      </w:r>
    </w:p>
    <w:p w:rsidR="00A427CB" w:rsidRDefault="00A427CB">
      <w:pPr>
        <w:pStyle w:val="PreformattedText"/>
        <w:jc w:val="both"/>
      </w:pPr>
      <w:r>
        <w:rPr>
          <w:sz w:val="24"/>
          <w:szCs w:val="24"/>
        </w:rPr>
        <w:tab/>
        <w:t xml:space="preserve">O presente curso pretende colmatar uma lacuna formativa de juristas, diplomatas, técnicos de Organizações Não Governamentais, militares e forças policiais que participam em missões internacionais em zonas de conflito armado. Também os jornalistas, os técnicos de protecção civil e os membros de equipas de socorro que acompanhem situações de conflito armado poderão beneficiar da formação fornecida pelo Curso. </w:t>
      </w:r>
    </w:p>
    <w:p w:rsidR="00A427CB" w:rsidRDefault="00A427CB">
      <w:pPr>
        <w:pStyle w:val="PreformattedText"/>
        <w:jc w:val="both"/>
      </w:pPr>
      <w:r>
        <w:rPr>
          <w:sz w:val="24"/>
          <w:szCs w:val="24"/>
        </w:rPr>
        <w:tab/>
        <w:t xml:space="preserve">Os vários módulos do curso percorrem os elementos clássicos relativos ao sistema da Carta das Nações Unidas em matéria de uso da força (definição de agressão, legítima defesa, actuação ao abrigo do capítulo VII da Carta,…); o estado da arte em matéria de direito internacional humanitário (regime das Convenções de Genebra: conflitos internacionais, pessoas e bens protegidos, combatentes regulares e irregulares); os mecanismos de aplicação de sanções </w:t>
      </w:r>
      <w:r>
        <w:rPr>
          <w:sz w:val="24"/>
          <w:szCs w:val="24"/>
        </w:rPr>
        <w:lastRenderedPageBreak/>
        <w:t xml:space="preserve">disciplinares e penais pela violação do direito humanitário (competência dos tribunais portugueses e do Tribunal Penal Internacional, tipos penais e disciplinares relevantes); os regimes jurídicos internacionais para determinadas armas (minas, munições em </w:t>
      </w:r>
      <w:r>
        <w:rPr>
          <w:i/>
          <w:iCs/>
          <w:sz w:val="24"/>
          <w:szCs w:val="24"/>
        </w:rPr>
        <w:t>cluster</w:t>
      </w:r>
      <w:r>
        <w:rPr>
          <w:sz w:val="24"/>
          <w:szCs w:val="24"/>
        </w:rPr>
        <w:t xml:space="preserve">, </w:t>
      </w:r>
      <w:r>
        <w:rPr>
          <w:i/>
          <w:iCs/>
          <w:sz w:val="24"/>
          <w:szCs w:val="24"/>
        </w:rPr>
        <w:t>drones</w:t>
      </w:r>
      <w:r>
        <w:rPr>
          <w:sz w:val="24"/>
          <w:szCs w:val="24"/>
        </w:rPr>
        <w:t xml:space="preserve">, </w:t>
      </w:r>
      <w:r>
        <w:rPr>
          <w:i/>
          <w:iCs/>
          <w:sz w:val="24"/>
          <w:szCs w:val="24"/>
        </w:rPr>
        <w:t>robots</w:t>
      </w:r>
      <w:r>
        <w:rPr>
          <w:sz w:val="24"/>
          <w:szCs w:val="24"/>
        </w:rPr>
        <w:t xml:space="preserve">); e a jurisprudência do Tribunal Europeu dos Direitos do Homem relativa aos conflitos armados. </w:t>
      </w:r>
    </w:p>
    <w:p w:rsidR="00A427CB" w:rsidRDefault="00A427CB">
      <w:pPr>
        <w:pStyle w:val="PreformattedText"/>
        <w:jc w:val="both"/>
      </w:pPr>
      <w:r>
        <w:rPr>
          <w:sz w:val="24"/>
          <w:szCs w:val="24"/>
        </w:rPr>
        <w:tab/>
        <w:t xml:space="preserve">O Curso integra três mesas redondas que permitirão partilhar a experiência de diversos operacionais em missões onde o direito humanitário tem um papel fundamental: Afeganistão, combate à pirataria e operações no Mediterrâneo para mitigar os efeitos da crise dos refugiados. </w:t>
      </w:r>
    </w:p>
    <w:p w:rsidR="00A427CB" w:rsidRDefault="00A427CB">
      <w:pPr>
        <w:pStyle w:val="PreformattedText"/>
        <w:jc w:val="both"/>
      </w:pPr>
      <w:r>
        <w:rPr>
          <w:sz w:val="24"/>
          <w:szCs w:val="24"/>
        </w:rPr>
        <w:tab/>
        <w:t xml:space="preserve">O Curso termina com uma simulação de uma situação de conflito armado envolvendo a violação de normas de Direito internacional Humanitário, com a resolução de um caso prático (por grupos de 10 alunos acompanhados por docentes da Faculdade de Direito de Lisboa, com distribuição de papéis e a obrigação de chegar uma uma solução negociada ou “judicializada”). </w:t>
      </w:r>
    </w:p>
    <w:p w:rsidR="00A427CB" w:rsidRDefault="00A427CB">
      <w:pPr>
        <w:pStyle w:val="PreformattedText"/>
        <w:jc w:val="both"/>
        <w:rPr>
          <w:sz w:val="24"/>
          <w:szCs w:val="24"/>
        </w:rPr>
      </w:pPr>
    </w:p>
    <w:p w:rsidR="00A427CB" w:rsidRDefault="00A427CB">
      <w:pPr>
        <w:pStyle w:val="PreformattedText"/>
        <w:jc w:val="both"/>
      </w:pPr>
      <w:r>
        <w:rPr>
          <w:sz w:val="24"/>
          <w:szCs w:val="24"/>
        </w:rPr>
        <w:t xml:space="preserve">  </w:t>
      </w:r>
    </w:p>
    <w:p w:rsidR="00A427CB" w:rsidRDefault="00A427CB">
      <w:pPr>
        <w:pStyle w:val="PreformattedText"/>
        <w:jc w:val="both"/>
        <w:rPr>
          <w:sz w:val="24"/>
          <w:szCs w:val="24"/>
        </w:rPr>
      </w:pPr>
    </w:p>
    <w:p w:rsidR="00A427CB" w:rsidRDefault="00A427CB">
      <w:pPr>
        <w:pStyle w:val="PreformattedText"/>
        <w:jc w:val="center"/>
      </w:pPr>
      <w:r>
        <w:rPr>
          <w:sz w:val="24"/>
          <w:szCs w:val="24"/>
        </w:rPr>
        <w:tab/>
      </w:r>
      <w:r>
        <w:rPr>
          <w:b/>
          <w:bCs/>
          <w:sz w:val="24"/>
          <w:szCs w:val="24"/>
        </w:rPr>
        <w:t xml:space="preserve">PROGRAMA </w:t>
      </w:r>
    </w:p>
    <w:p w:rsidR="00A427CB" w:rsidRDefault="00A427CB">
      <w:pPr>
        <w:pStyle w:val="PreformattedText"/>
        <w:jc w:val="both"/>
        <w:rPr>
          <w:sz w:val="24"/>
          <w:szCs w:val="24"/>
        </w:rPr>
      </w:pPr>
    </w:p>
    <w:p w:rsidR="00A427CB" w:rsidRDefault="00A427CB">
      <w:pPr>
        <w:pStyle w:val="PreformattedText"/>
        <w:jc w:val="both"/>
      </w:pPr>
      <w:r>
        <w:rPr>
          <w:sz w:val="24"/>
          <w:szCs w:val="24"/>
        </w:rPr>
        <w:t xml:space="preserve">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 </w:t>
      </w:r>
    </w:p>
    <w:p w:rsidR="00A427CB" w:rsidRDefault="00A427CB">
      <w:pPr>
        <w:pStyle w:val="PreformattedText"/>
        <w:jc w:val="both"/>
        <w:rPr>
          <w:sz w:val="24"/>
          <w:szCs w:val="24"/>
        </w:rPr>
      </w:pPr>
    </w:p>
    <w:p w:rsidR="00A427CB" w:rsidRDefault="00A427CB">
      <w:pPr>
        <w:pStyle w:val="PreformattedText"/>
        <w:jc w:val="both"/>
      </w:pPr>
      <w:r>
        <w:rPr>
          <w:sz w:val="24"/>
          <w:szCs w:val="24"/>
        </w:rPr>
        <w:tab/>
      </w:r>
      <w:r>
        <w:rPr>
          <w:b/>
          <w:bCs/>
          <w:sz w:val="24"/>
          <w:szCs w:val="24"/>
        </w:rPr>
        <w:t>Conferência inaugural.</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9 de Setembro de 2024 </w:t>
      </w:r>
    </w:p>
    <w:p w:rsidR="00A427CB" w:rsidRDefault="00A427CB">
      <w:pPr>
        <w:pStyle w:val="PreformattedText"/>
        <w:jc w:val="both"/>
      </w:pPr>
      <w:r>
        <w:rPr>
          <w:sz w:val="24"/>
          <w:szCs w:val="24"/>
        </w:rPr>
        <w:tab/>
        <w:t>18H00</w:t>
      </w:r>
    </w:p>
    <w:p w:rsidR="00A427CB" w:rsidRDefault="00A427CB">
      <w:pPr>
        <w:pStyle w:val="PreformattedText"/>
        <w:jc w:val="both"/>
        <w:rPr>
          <w:sz w:val="24"/>
          <w:szCs w:val="24"/>
        </w:rPr>
      </w:pPr>
    </w:p>
    <w:p w:rsidR="00A427CB" w:rsidRDefault="00A427CB">
      <w:pPr>
        <w:pStyle w:val="PreformattedText"/>
        <w:jc w:val="both"/>
      </w:pPr>
      <w:r>
        <w:rPr>
          <w:sz w:val="24"/>
          <w:szCs w:val="24"/>
        </w:rPr>
        <w:tab/>
        <w:t>T</w:t>
      </w:r>
      <w:r>
        <w:rPr>
          <w:color w:val="000000"/>
          <w:sz w:val="24"/>
          <w:szCs w:val="24"/>
          <w:lang w:val="en-GB"/>
        </w:rPr>
        <w:t>he role of the Convention Relating to the Status of Refugees and its 1967 New York Protocol - Is it time for a review?</w:t>
      </w:r>
    </w:p>
    <w:p w:rsidR="00A427CB" w:rsidRDefault="00A427CB">
      <w:pPr>
        <w:pStyle w:val="PreformattedText"/>
        <w:jc w:val="both"/>
      </w:pPr>
      <w:r>
        <w:rPr>
          <w:color w:val="000000"/>
          <w:sz w:val="24"/>
          <w:szCs w:val="24"/>
          <w:lang w:val="en-GB"/>
        </w:rPr>
        <w:tab/>
        <w:t>Andreas Zimmermann, Professor de Direito Internacional Público na Universidade de Potsdam.</w:t>
      </w:r>
    </w:p>
    <w:p w:rsidR="00A427CB" w:rsidRDefault="00A427CB">
      <w:pPr>
        <w:pStyle w:val="PreformattedText"/>
        <w:jc w:val="both"/>
        <w:rPr>
          <w:sz w:val="24"/>
          <w:szCs w:val="24"/>
        </w:rPr>
      </w:pPr>
    </w:p>
    <w:p w:rsidR="00A427CB" w:rsidRDefault="00A427CB">
      <w:pPr>
        <w:pStyle w:val="PreformattedText"/>
        <w:jc w:val="both"/>
      </w:pPr>
      <w:r>
        <w:rPr>
          <w:sz w:val="24"/>
          <w:szCs w:val="24"/>
        </w:rPr>
        <w:tab/>
      </w:r>
      <w:r>
        <w:rPr>
          <w:b/>
          <w:bCs/>
          <w:sz w:val="24"/>
          <w:szCs w:val="24"/>
        </w:rPr>
        <w:t>A. Introdução, evolução e relação entre ordenamentos jurídicos.</w:t>
      </w:r>
    </w:p>
    <w:p w:rsidR="00A427CB" w:rsidRDefault="00A427CB">
      <w:pPr>
        <w:pStyle w:val="PreformattedText"/>
        <w:jc w:val="both"/>
      </w:pPr>
      <w:r>
        <w:rPr>
          <w:sz w:val="24"/>
          <w:szCs w:val="24"/>
        </w:rPr>
        <w:tab/>
        <w:t xml:space="preserve">16 de Setembro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Evolução histórica da codificação do Direito Internacional Humanitário: das convenções da Haia ao Estatuto de Roma. </w:t>
      </w:r>
    </w:p>
    <w:p w:rsidR="00A427CB" w:rsidRDefault="00A427CB">
      <w:pPr>
        <w:pStyle w:val="PreformattedText"/>
        <w:jc w:val="both"/>
      </w:pPr>
      <w:r>
        <w:rPr>
          <w:sz w:val="24"/>
          <w:szCs w:val="24"/>
        </w:rPr>
        <w:tab/>
        <w:t>Patrícia Galvão Teles, Comissão de Direito Internacional.</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A cláusula Martens: sentido e limites. </w:t>
      </w:r>
    </w:p>
    <w:p w:rsidR="00A427CB" w:rsidRDefault="00A427CB">
      <w:pPr>
        <w:pStyle w:val="PreformattedText"/>
        <w:jc w:val="both"/>
      </w:pPr>
      <w:r>
        <w:rPr>
          <w:sz w:val="24"/>
          <w:szCs w:val="24"/>
        </w:rPr>
        <w:tab/>
        <w:t>Rui Lanceiro, FDL.</w:t>
      </w:r>
    </w:p>
    <w:p w:rsidR="00A427CB" w:rsidRDefault="00A427CB">
      <w:pPr>
        <w:pStyle w:val="PreformattedText"/>
        <w:jc w:val="both"/>
        <w:rPr>
          <w:sz w:val="24"/>
          <w:szCs w:val="24"/>
        </w:rPr>
      </w:pPr>
    </w:p>
    <w:p w:rsidR="00A427CB" w:rsidRDefault="00A427CB">
      <w:pPr>
        <w:pStyle w:val="PreformattedText"/>
        <w:jc w:val="both"/>
      </w:pPr>
      <w:r>
        <w:rPr>
          <w:sz w:val="24"/>
          <w:szCs w:val="24"/>
        </w:rPr>
        <w:t xml:space="preserve"> </w:t>
      </w:r>
      <w:r>
        <w:rPr>
          <w:sz w:val="24"/>
          <w:szCs w:val="24"/>
        </w:rPr>
        <w:tab/>
        <w:t xml:space="preserve">23 de Setembro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O que são “conflitos armados” susceptíveis de desencadear a aplicação do Direito Internacional Humanitário. </w:t>
      </w:r>
    </w:p>
    <w:p w:rsidR="00A427CB" w:rsidRDefault="00A427CB">
      <w:pPr>
        <w:pStyle w:val="PreformattedText"/>
        <w:jc w:val="both"/>
      </w:pPr>
      <w:r>
        <w:rPr>
          <w:sz w:val="24"/>
          <w:szCs w:val="24"/>
        </w:rPr>
        <w:tab/>
        <w:t>Inês Pires Marinho, ICJP.</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As situações de conflito não internacionalizadas. Declaração de guerra e aceitação da rendição. </w:t>
      </w:r>
    </w:p>
    <w:p w:rsidR="00A427CB" w:rsidRDefault="00A427CB">
      <w:pPr>
        <w:pStyle w:val="PreformattedText"/>
        <w:jc w:val="both"/>
      </w:pPr>
      <w:r>
        <w:rPr>
          <w:sz w:val="24"/>
          <w:szCs w:val="24"/>
        </w:rPr>
        <w:tab/>
        <w:t>Jaime Drummond Valle, FDL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30 de Setembro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Uso da força de acordo com a carta da ONU e missões de “Peacekeeping” e de “Peace Enforcement” no âmbito da ONU, OSCE, UE e NATO.</w:t>
      </w:r>
    </w:p>
    <w:p w:rsidR="00A427CB" w:rsidRDefault="00A427CB">
      <w:pPr>
        <w:pStyle w:val="PreformattedText"/>
        <w:jc w:val="both"/>
      </w:pPr>
      <w:r>
        <w:rPr>
          <w:sz w:val="24"/>
          <w:szCs w:val="24"/>
        </w:rPr>
        <w:tab/>
        <w:t>Mário João de Brito Fernandes, ICJP.</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A questão da vinculação ao Direito Internacional Humanitário e ao Direito Internacional dos Direitos do Homem de forças internacionais. </w:t>
      </w:r>
    </w:p>
    <w:p w:rsidR="00A427CB" w:rsidRDefault="00A427CB">
      <w:pPr>
        <w:pStyle w:val="PreformattedText"/>
        <w:jc w:val="both"/>
      </w:pPr>
      <w:r>
        <w:rPr>
          <w:sz w:val="24"/>
          <w:szCs w:val="24"/>
        </w:rPr>
        <w:tab/>
        <w:t>Tiago Fidalgo de Freitas, FDL.</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7 de Outubro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Parametrização do funcionamento das operações de “Peacekeeping” da ONU. </w:t>
      </w:r>
    </w:p>
    <w:p w:rsidR="00A427CB" w:rsidRDefault="00A427CB">
      <w:pPr>
        <w:pStyle w:val="PreformattedText"/>
        <w:jc w:val="both"/>
      </w:pPr>
      <w:r>
        <w:rPr>
          <w:sz w:val="24"/>
          <w:szCs w:val="24"/>
        </w:rPr>
        <w:tab/>
        <w:t>Coronel Alberto Sebastião Neves Marinheiro, IDN.</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Os jornalistas em situações de conflito. </w:t>
      </w:r>
    </w:p>
    <w:p w:rsidR="00A427CB" w:rsidRDefault="00A427CB">
      <w:pPr>
        <w:pStyle w:val="PreformattedText"/>
        <w:jc w:val="both"/>
      </w:pPr>
      <w:r>
        <w:rPr>
          <w:sz w:val="24"/>
          <w:szCs w:val="24"/>
        </w:rPr>
        <w:tab/>
        <w:t>Ricardo Alexandre, Director adjunto da TSF.</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14 de Outubro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Status of Forces Agreements e conflitos negativos e positivos de jurisdição. </w:t>
      </w:r>
    </w:p>
    <w:p w:rsidR="00A427CB" w:rsidRDefault="00A427CB">
      <w:pPr>
        <w:pStyle w:val="PreformattedText"/>
        <w:jc w:val="both"/>
      </w:pPr>
      <w:r>
        <w:rPr>
          <w:sz w:val="24"/>
          <w:szCs w:val="24"/>
        </w:rPr>
        <w:tab/>
        <w:t>Mário João de Brito Fernandes, ICJP.</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Armas e alvos aceites à luz do Direito Internacional Humanitário. Em particular as minas antipessoal e as munições em </w:t>
      </w:r>
      <w:r>
        <w:rPr>
          <w:i/>
          <w:iCs/>
          <w:sz w:val="24"/>
          <w:szCs w:val="24"/>
        </w:rPr>
        <w:t>cluster</w:t>
      </w:r>
      <w:r>
        <w:rPr>
          <w:sz w:val="24"/>
          <w:szCs w:val="24"/>
        </w:rPr>
        <w:t xml:space="preserve">. </w:t>
      </w:r>
    </w:p>
    <w:p w:rsidR="00A427CB" w:rsidRDefault="00A427CB">
      <w:pPr>
        <w:pStyle w:val="PreformattedText"/>
        <w:jc w:val="both"/>
      </w:pPr>
      <w:r>
        <w:rPr>
          <w:sz w:val="24"/>
          <w:szCs w:val="24"/>
        </w:rPr>
        <w:tab/>
        <w:t xml:space="preserve">Ana Caldeira Fouto, FDL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21 de Outubro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O acolhimento do Direito Penal Internacional no ordenamento jurídico português: vinculação internacional, Código Penal e Código de Justiça Militar. </w:t>
      </w:r>
    </w:p>
    <w:p w:rsidR="00A427CB" w:rsidRDefault="00A427CB">
      <w:pPr>
        <w:pStyle w:val="PreformattedText"/>
        <w:jc w:val="both"/>
      </w:pPr>
      <w:r>
        <w:rPr>
          <w:sz w:val="24"/>
          <w:szCs w:val="24"/>
        </w:rPr>
        <w:tab/>
        <w:t>Paulo Saragoça da Matta, ex-assistente da FDL, Advogado.</w:t>
      </w:r>
    </w:p>
    <w:p w:rsidR="00A427CB" w:rsidRDefault="00A427CB">
      <w:pPr>
        <w:pStyle w:val="PreformattedText"/>
        <w:jc w:val="both"/>
      </w:pPr>
      <w:r>
        <w:rPr>
          <w:sz w:val="24"/>
          <w:szCs w:val="24"/>
        </w:rPr>
        <w:t xml:space="preserve"> </w:t>
      </w:r>
    </w:p>
    <w:p w:rsidR="00A427CB" w:rsidRDefault="00A427CB">
      <w:pPr>
        <w:pStyle w:val="PreformattedText"/>
        <w:jc w:val="both"/>
        <w:rPr>
          <w:sz w:val="24"/>
          <w:szCs w:val="24"/>
        </w:rPr>
      </w:pPr>
    </w:p>
    <w:p w:rsidR="00A427CB" w:rsidRDefault="00A427CB">
      <w:pPr>
        <w:pStyle w:val="PreformattedText"/>
        <w:jc w:val="both"/>
      </w:pPr>
      <w:r>
        <w:rPr>
          <w:sz w:val="24"/>
          <w:szCs w:val="24"/>
        </w:rPr>
        <w:tab/>
      </w:r>
      <w:r>
        <w:rPr>
          <w:b/>
          <w:bCs/>
          <w:sz w:val="24"/>
          <w:szCs w:val="24"/>
        </w:rPr>
        <w:t xml:space="preserve">B. Soluções materiais em sede de Direito Internacional Humanitário.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21 de Outubro de 2024 </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Evolução da justiça militar: sentido e limites. </w:t>
      </w:r>
    </w:p>
    <w:p w:rsidR="00A427CB" w:rsidRDefault="00A427CB">
      <w:pPr>
        <w:pStyle w:val="PreformattedText"/>
        <w:jc w:val="both"/>
      </w:pPr>
      <w:r>
        <w:rPr>
          <w:sz w:val="24"/>
          <w:szCs w:val="24"/>
        </w:rPr>
        <w:tab/>
        <w:t>Coronel Gil Prata, ex-juiz militar.</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28 de Outubro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O estatuto jurídico dos combatentes e dos não combatentes, regulares e irregulares. Dos mercenários em particular. </w:t>
      </w:r>
    </w:p>
    <w:p w:rsidR="00A427CB" w:rsidRDefault="00A427CB">
      <w:pPr>
        <w:pStyle w:val="PreformattedText"/>
        <w:jc w:val="both"/>
      </w:pPr>
      <w:r>
        <w:rPr>
          <w:sz w:val="24"/>
          <w:szCs w:val="24"/>
        </w:rPr>
        <w:tab/>
        <w:t xml:space="preserve">Maria da Assunção do Vale Pereira, Escola de Direito da Universidade do Minho. </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A protecção de grupos mais vulneráveis: mulheres, crianças e refugiados. </w:t>
      </w:r>
    </w:p>
    <w:p w:rsidR="00A427CB" w:rsidRDefault="00A427CB">
      <w:pPr>
        <w:pStyle w:val="PreformattedText"/>
        <w:jc w:val="both"/>
      </w:pPr>
      <w:r>
        <w:rPr>
          <w:sz w:val="24"/>
          <w:szCs w:val="24"/>
        </w:rPr>
        <w:tab/>
        <w:t>Benedita Queiroz, UCP.</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4 de Novembro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O estatuto de neutralidade. </w:t>
      </w:r>
    </w:p>
    <w:p w:rsidR="00A427CB" w:rsidRDefault="00A427CB">
      <w:pPr>
        <w:pStyle w:val="PreformattedText"/>
        <w:jc w:val="both"/>
      </w:pPr>
      <w:r>
        <w:rPr>
          <w:sz w:val="24"/>
          <w:szCs w:val="24"/>
        </w:rPr>
        <w:tab/>
        <w:t>Filipe da Boa Baptista, ex-assistente da FDL.</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O estatuto jurídico dos prisioneiros de guerra. </w:t>
      </w:r>
    </w:p>
    <w:p w:rsidR="00A427CB" w:rsidRDefault="00A427CB">
      <w:pPr>
        <w:pStyle w:val="PreformattedText"/>
        <w:jc w:val="both"/>
      </w:pPr>
      <w:r>
        <w:rPr>
          <w:sz w:val="24"/>
          <w:szCs w:val="24"/>
        </w:rPr>
        <w:tab/>
        <w:t>Tiago Fidalgo de Freitas, FDL.</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11 de Novembro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A protecção dos feridos, doentes e náufragos. </w:t>
      </w:r>
    </w:p>
    <w:p w:rsidR="00A427CB" w:rsidRDefault="00A427CB">
      <w:pPr>
        <w:pStyle w:val="PreformattedText"/>
        <w:jc w:val="both"/>
      </w:pPr>
      <w:r>
        <w:rPr>
          <w:sz w:val="24"/>
          <w:szCs w:val="24"/>
        </w:rPr>
        <w:tab/>
        <w:t>Ana Isabel Pinto, FDL.</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A protecção dos civis e dos bens civis. </w:t>
      </w:r>
    </w:p>
    <w:p w:rsidR="00A427CB" w:rsidRDefault="00A427CB">
      <w:pPr>
        <w:pStyle w:val="PreformattedText"/>
        <w:jc w:val="both"/>
      </w:pPr>
      <w:r>
        <w:rPr>
          <w:sz w:val="24"/>
          <w:szCs w:val="24"/>
        </w:rPr>
        <w:tab/>
        <w:t>Diogo Santana Lopes, ex-assistente da FDL.</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18 de Novembro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A utilização de </w:t>
      </w:r>
      <w:r>
        <w:rPr>
          <w:i/>
          <w:iCs/>
          <w:sz w:val="24"/>
          <w:szCs w:val="24"/>
        </w:rPr>
        <w:t>drones</w:t>
      </w:r>
      <w:r>
        <w:rPr>
          <w:sz w:val="24"/>
          <w:szCs w:val="24"/>
        </w:rPr>
        <w:t xml:space="preserve"> contra alvos militares e civis à luz do Direito Internacional. </w:t>
      </w:r>
    </w:p>
    <w:p w:rsidR="00A427CB" w:rsidRDefault="00A427CB">
      <w:pPr>
        <w:pStyle w:val="PreformattedText"/>
        <w:jc w:val="both"/>
      </w:pPr>
      <w:r>
        <w:rPr>
          <w:sz w:val="24"/>
          <w:szCs w:val="24"/>
        </w:rPr>
        <w:tab/>
        <w:t>Afonso Brás, FDL.</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O caso particular das crianças soldado. </w:t>
      </w:r>
    </w:p>
    <w:p w:rsidR="00A427CB" w:rsidRDefault="00A427CB">
      <w:pPr>
        <w:pStyle w:val="PreformattedText"/>
        <w:jc w:val="both"/>
      </w:pPr>
      <w:r>
        <w:rPr>
          <w:sz w:val="24"/>
          <w:szCs w:val="24"/>
        </w:rPr>
        <w:tab/>
        <w:t xml:space="preserve">Carla de Marcelino Gomes, </w:t>
      </w:r>
      <w:r>
        <w:rPr>
          <w:i/>
          <w:iCs/>
          <w:sz w:val="24"/>
          <w:szCs w:val="24"/>
        </w:rPr>
        <w:t>Ius Gentium Conimbrigae</w:t>
      </w:r>
      <w:r>
        <w:rPr>
          <w:sz w:val="24"/>
          <w:szCs w:val="24"/>
        </w:rPr>
        <w:t>.</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25 de Novembro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A protecção do ambiente. </w:t>
      </w:r>
    </w:p>
    <w:p w:rsidR="00A427CB" w:rsidRDefault="00A427CB">
      <w:pPr>
        <w:pStyle w:val="PreformattedText"/>
        <w:jc w:val="both"/>
      </w:pPr>
      <w:r>
        <w:rPr>
          <w:sz w:val="24"/>
          <w:szCs w:val="24"/>
        </w:rPr>
        <w:tab/>
        <w:t>Fernando Loureiro Bastos, FDL.</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O regime nacional de protecção dos refugiados: a Lei n.º 27/2008, de 30 de Junho. </w:t>
      </w:r>
    </w:p>
    <w:p w:rsidR="00A427CB" w:rsidRDefault="00A427CB">
      <w:pPr>
        <w:pStyle w:val="PreformattedText"/>
        <w:jc w:val="both"/>
      </w:pPr>
      <w:r>
        <w:rPr>
          <w:sz w:val="24"/>
          <w:szCs w:val="24"/>
        </w:rPr>
        <w:tab/>
        <w:t xml:space="preserve">Ana Rita Gil, FDL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2 de Dezembro de 2024 </w:t>
      </w:r>
    </w:p>
    <w:p w:rsidR="00A427CB" w:rsidRDefault="00A427CB">
      <w:pPr>
        <w:pStyle w:val="PreformattedText"/>
        <w:jc w:val="both"/>
      </w:pPr>
      <w:r>
        <w:rPr>
          <w:sz w:val="24"/>
          <w:szCs w:val="24"/>
        </w:rPr>
        <w:tab/>
        <w:t xml:space="preserve">18h00 </w:t>
      </w:r>
    </w:p>
    <w:p w:rsidR="00A427CB" w:rsidRDefault="00A427CB">
      <w:pPr>
        <w:jc w:val="both"/>
      </w:pPr>
      <w:r>
        <w:tab/>
        <w:t xml:space="preserve">A protecção do património cultural. </w:t>
      </w:r>
    </w:p>
    <w:p w:rsidR="00A427CB" w:rsidRDefault="00A427CB">
      <w:pPr>
        <w:pStyle w:val="PreformattedText"/>
        <w:jc w:val="both"/>
      </w:pPr>
      <w:r>
        <w:rPr>
          <w:sz w:val="24"/>
          <w:szCs w:val="24"/>
        </w:rPr>
        <w:tab/>
        <w:t>Fernando Loureiro Bastos, FDL.</w:t>
      </w:r>
    </w:p>
    <w:p w:rsidR="00A427CB" w:rsidRDefault="00A427CB">
      <w:pPr>
        <w:pStyle w:val="PreformattedText"/>
        <w:jc w:val="both"/>
      </w:pPr>
      <w:r>
        <w:rPr>
          <w:sz w:val="24"/>
          <w:szCs w:val="24"/>
        </w:rPr>
        <w:tab/>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A União Europeia e a crise dos refugiados. </w:t>
      </w:r>
    </w:p>
    <w:p w:rsidR="00A427CB" w:rsidRDefault="00A427CB">
      <w:pPr>
        <w:pStyle w:val="PreformattedText"/>
        <w:jc w:val="both"/>
      </w:pPr>
      <w:r>
        <w:rPr>
          <w:sz w:val="24"/>
          <w:szCs w:val="24"/>
        </w:rPr>
        <w:tab/>
        <w:t>Benedita Queiroz, UCP.</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9 de Dezembro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Erros de facto, de Direito e de processo: os mecanismos de recurso no TPI à luz da jurisprudência recente. </w:t>
      </w:r>
    </w:p>
    <w:p w:rsidR="00A427CB" w:rsidRDefault="00A427CB">
      <w:pPr>
        <w:pStyle w:val="PreformattedText"/>
        <w:jc w:val="both"/>
      </w:pPr>
      <w:r>
        <w:rPr>
          <w:sz w:val="24"/>
          <w:szCs w:val="24"/>
        </w:rPr>
        <w:tab/>
        <w:t xml:space="preserve">Paulo Sousa Mendes, FDL. </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A Convenção Europeia dos Direitos do Homem e a jurisprudência do TEDH relacionada com situações de conflito: em especial, a questão da noção de “jurisdição”. </w:t>
      </w:r>
    </w:p>
    <w:p w:rsidR="00A427CB" w:rsidRDefault="00A427CB">
      <w:pPr>
        <w:pStyle w:val="PreformattedText"/>
        <w:jc w:val="both"/>
      </w:pPr>
      <w:r>
        <w:rPr>
          <w:sz w:val="24"/>
          <w:szCs w:val="24"/>
        </w:rPr>
        <w:tab/>
        <w:t>Rui Guerra da Fonseca, FDL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16 de Dezembro de 2024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Direito Penal Internacional: evolução histórica, codificação e jurisprudência dos tribunais penais internacionais. </w:t>
      </w:r>
    </w:p>
    <w:p w:rsidR="00A427CB" w:rsidRDefault="00A427CB">
      <w:pPr>
        <w:pStyle w:val="PreformattedText"/>
        <w:jc w:val="both"/>
      </w:pPr>
      <w:r>
        <w:rPr>
          <w:sz w:val="24"/>
          <w:szCs w:val="24"/>
        </w:rPr>
        <w:tab/>
        <w:t xml:space="preserve">Inês Pires Marinho, ICJP. </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Elementos dos tipos penais dos crimes internacionais: crimes de guerra, crime de genocídio, crimes contra a humanidade, crime de agressão. </w:t>
      </w:r>
    </w:p>
    <w:p w:rsidR="00A427CB" w:rsidRDefault="00A427CB">
      <w:pPr>
        <w:pStyle w:val="PreformattedText"/>
        <w:jc w:val="both"/>
      </w:pPr>
      <w:r>
        <w:rPr>
          <w:sz w:val="24"/>
          <w:szCs w:val="24"/>
        </w:rPr>
        <w:tab/>
        <w:t>Francisco Ferreira de Almeida, FDC.</w:t>
      </w:r>
    </w:p>
    <w:p w:rsidR="00A427CB" w:rsidRDefault="00A427CB">
      <w:pPr>
        <w:pStyle w:val="PreformattedText"/>
        <w:jc w:val="both"/>
        <w:rPr>
          <w:sz w:val="24"/>
          <w:szCs w:val="24"/>
        </w:rPr>
      </w:pPr>
    </w:p>
    <w:p w:rsidR="00A427CB" w:rsidRDefault="00A427CB">
      <w:pPr>
        <w:pStyle w:val="PreformattedText"/>
        <w:jc w:val="both"/>
      </w:pPr>
      <w:r>
        <w:rPr>
          <w:sz w:val="24"/>
          <w:szCs w:val="24"/>
        </w:rPr>
        <w:tab/>
        <w:t>6 de Janeiro de 2025</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O auxílio humanitário (o estatuto da Cruz Vermelha e o das Organizações Não Governamentais). </w:t>
      </w:r>
    </w:p>
    <w:p w:rsidR="00A427CB" w:rsidRDefault="00A427CB">
      <w:pPr>
        <w:pStyle w:val="PreformattedText"/>
        <w:jc w:val="both"/>
      </w:pPr>
      <w:r>
        <w:rPr>
          <w:sz w:val="24"/>
          <w:szCs w:val="24"/>
        </w:rPr>
        <w:tab/>
        <w:t>Patrícia Galvão Teles, Comissão de Direito Internacional.</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Responsabilidade dos chefes militares e de outros superiores hierárquicos. </w:t>
      </w:r>
    </w:p>
    <w:p w:rsidR="00A427CB" w:rsidRDefault="00A427CB">
      <w:pPr>
        <w:pStyle w:val="PreformattedText"/>
        <w:jc w:val="both"/>
      </w:pPr>
      <w:r>
        <w:rPr>
          <w:sz w:val="24"/>
          <w:szCs w:val="24"/>
        </w:rPr>
        <w:tab/>
        <w:t xml:space="preserve">Teresa Quintela de Brito, FDL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13 de Janeiro de 2025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t xml:space="preserve">Autoria e participação no Direito Internacional Penal. </w:t>
      </w:r>
    </w:p>
    <w:p w:rsidR="00A427CB" w:rsidRDefault="00A427CB">
      <w:pPr>
        <w:pStyle w:val="PreformattedText"/>
        <w:jc w:val="both"/>
      </w:pPr>
      <w:r>
        <w:rPr>
          <w:sz w:val="24"/>
          <w:szCs w:val="24"/>
        </w:rPr>
        <w:tab/>
        <w:t xml:space="preserve">Teresa Quintela de Brito, FDL </w:t>
      </w:r>
    </w:p>
    <w:p w:rsidR="00A427CB" w:rsidRDefault="00A427CB">
      <w:pPr>
        <w:pStyle w:val="PreformattedText"/>
        <w:jc w:val="both"/>
      </w:pPr>
      <w:r>
        <w:rPr>
          <w:sz w:val="24"/>
          <w:szCs w:val="24"/>
        </w:rPr>
        <w:tab/>
        <w:t xml:space="preserve">19h45 </w:t>
      </w:r>
    </w:p>
    <w:p w:rsidR="00A427CB" w:rsidRDefault="00A427CB">
      <w:pPr>
        <w:pStyle w:val="PreformattedText"/>
        <w:jc w:val="both"/>
      </w:pPr>
      <w:r>
        <w:rPr>
          <w:sz w:val="24"/>
          <w:szCs w:val="24"/>
        </w:rPr>
        <w:tab/>
        <w:t xml:space="preserve">Decisões do Comité dos Direitos Humanos em matéria de asilo e migração (Pacto Internacional dos Direitos Civis e Políticos). </w:t>
      </w:r>
    </w:p>
    <w:p w:rsidR="00A427CB" w:rsidRDefault="00A427CB">
      <w:pPr>
        <w:pStyle w:val="PreformattedText"/>
        <w:jc w:val="both"/>
      </w:pPr>
      <w:r>
        <w:rPr>
          <w:sz w:val="24"/>
          <w:szCs w:val="24"/>
        </w:rPr>
        <w:tab/>
        <w:t xml:space="preserve">Diogo Santana Lopes, ex-assistente da FDL </w:t>
      </w:r>
    </w:p>
    <w:p w:rsidR="00A427CB" w:rsidRDefault="00A427CB">
      <w:pPr>
        <w:pStyle w:val="PreformattedText"/>
        <w:jc w:val="both"/>
        <w:rPr>
          <w:sz w:val="24"/>
          <w:szCs w:val="24"/>
        </w:rPr>
      </w:pPr>
    </w:p>
    <w:p w:rsidR="00A427CB" w:rsidRDefault="00A427CB">
      <w:pPr>
        <w:pStyle w:val="PreformattedText"/>
        <w:jc w:val="both"/>
        <w:rPr>
          <w:sz w:val="24"/>
          <w:szCs w:val="24"/>
        </w:rPr>
      </w:pPr>
    </w:p>
    <w:p w:rsidR="00A427CB" w:rsidRDefault="00A427CB">
      <w:pPr>
        <w:pStyle w:val="PreformattedText"/>
        <w:jc w:val="both"/>
      </w:pPr>
      <w:r>
        <w:rPr>
          <w:sz w:val="24"/>
          <w:szCs w:val="24"/>
        </w:rPr>
        <w:tab/>
      </w:r>
      <w:r>
        <w:rPr>
          <w:b/>
          <w:bCs/>
          <w:sz w:val="24"/>
          <w:szCs w:val="24"/>
        </w:rPr>
        <w:t xml:space="preserve">C. Mesas Redondas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20 de Janeiro de 2025 </w:t>
      </w:r>
    </w:p>
    <w:p w:rsidR="00A427CB" w:rsidRDefault="00A427CB">
      <w:pPr>
        <w:pStyle w:val="PreformattedText"/>
        <w:jc w:val="both"/>
      </w:pPr>
      <w:r>
        <w:rPr>
          <w:sz w:val="24"/>
          <w:szCs w:val="24"/>
        </w:rPr>
        <w:tab/>
        <w:t xml:space="preserve">18h00 </w:t>
      </w:r>
    </w:p>
    <w:p w:rsidR="00A427CB" w:rsidRDefault="00A427CB">
      <w:pPr>
        <w:pStyle w:val="PreformattedText"/>
        <w:jc w:val="both"/>
      </w:pPr>
      <w:r>
        <w:rPr>
          <w:b/>
          <w:bCs/>
          <w:sz w:val="24"/>
          <w:szCs w:val="24"/>
        </w:rPr>
        <w:tab/>
        <w:t xml:space="preserve">Operações no Mediterrâneo e a crise dos refugiados. </w:t>
      </w:r>
    </w:p>
    <w:p w:rsidR="00A427CB" w:rsidRDefault="00A427CB">
      <w:pPr>
        <w:pStyle w:val="PreformattedText"/>
        <w:jc w:val="both"/>
      </w:pPr>
      <w:r>
        <w:rPr>
          <w:sz w:val="24"/>
          <w:szCs w:val="24"/>
        </w:rPr>
        <w:tab/>
        <w:t xml:space="preserve">Moderador: Coronel Alberto Marinheiro, foi Conselheiro Militar junto da Missão Permanente de Portugal na Organização das Nações Unidas, de 1999 a 2002 e Adido de Defesa junto da Embaixada de Portugal em Paris, de 2010 a 2014. É assessor do IDN. </w:t>
      </w:r>
    </w:p>
    <w:p w:rsidR="00A427CB" w:rsidRDefault="00A427CB">
      <w:pPr>
        <w:pStyle w:val="PreformattedText"/>
        <w:jc w:val="both"/>
      </w:pPr>
      <w:r>
        <w:rPr>
          <w:sz w:val="24"/>
          <w:szCs w:val="24"/>
        </w:rPr>
        <w:tab/>
      </w:r>
      <w:r>
        <w:rPr>
          <w:rFonts w:eastAsia="font230"/>
          <w:sz w:val="24"/>
          <w:szCs w:val="24"/>
        </w:rPr>
        <w:t>Francisca Soromenho, assistente convidada da Faculdade de Direito de Lisboa, doutoranda da Universidade de Lisboa, investigadora do IURIS, especialista em História das Relações Internacionais, e ativista dos direitos das mulheres.</w:t>
      </w:r>
    </w:p>
    <w:p w:rsidR="00A427CB" w:rsidRDefault="00A427CB">
      <w:pPr>
        <w:pStyle w:val="PreformattedText"/>
        <w:jc w:val="both"/>
      </w:pPr>
      <w:r>
        <w:rPr>
          <w:sz w:val="24"/>
          <w:szCs w:val="24"/>
        </w:rPr>
        <w:tab/>
        <w:t xml:space="preserve">Comandante João Lourenço da Piedade, Doutorando em relações internacionais na Universidade Nova, actualmente no Estado-Maior da Armada, serviu como Oficial de Operações da Força Naval portuguesa, Chefe do Departamento de Operações do NRP Vasco da Gama e Chefe de Serviço de operações Anti-submarinas do NRP Côrte-Real. Participou na operação de evacuação da Guiné Bissau de cidadãos nacionais (1998), na operação de combate à pirataria na Somália (Atalanta - 2011) e na operação de resgate de migrantes irregulares no Mediterrâneo (Sophia – 2017/18). É autor de diversas publicações sobre pirataria naval e segurança marítima.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27 de Janeiro de 2025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r>
      <w:r>
        <w:rPr>
          <w:b/>
          <w:bCs/>
          <w:sz w:val="24"/>
          <w:szCs w:val="24"/>
        </w:rPr>
        <w:t xml:space="preserve">Missões de paz no Afeganistão. </w:t>
      </w:r>
    </w:p>
    <w:p w:rsidR="00A427CB" w:rsidRDefault="00A427CB">
      <w:pPr>
        <w:pStyle w:val="PreformattedText"/>
        <w:jc w:val="both"/>
      </w:pPr>
      <w:r>
        <w:rPr>
          <w:sz w:val="24"/>
          <w:szCs w:val="24"/>
        </w:rPr>
        <w:tab/>
        <w:t xml:space="preserve">Moderador: Carlos Branco, Major General do Exército português, na situação de reserva. Serviu nas Nações Unidas, nos Balcãs, antes de Dayton, como observador militar. Mais tarde, serviu no quartel-general da EUROFOR, em Florença, como Chefe da Seção de Análise de Informações. Prestou serviço na Divisão Militar do Departamento de Operações de Paz, no QG da ONU, em Nova Iorque, como Peacekeeping Affairs Officer para as missões da ONU no Médio Oriente (Líbano, Síria, Israel e na fronteira do Iraque/Kuwait). Foi ainda porta-voz do comandante da ISAF e Diretor da Divisão da Cooperação e Segurança Regional, do Estado-Maior Militar Internacional, no QG da OTAN. Foi subdiretor do Instituto Superior de Estudos Militares. </w:t>
      </w:r>
    </w:p>
    <w:p w:rsidR="00A427CB" w:rsidRDefault="00A427CB">
      <w:pPr>
        <w:pStyle w:val="PreformattedText"/>
        <w:jc w:val="both"/>
      </w:pPr>
      <w:r>
        <w:rPr>
          <w:sz w:val="24"/>
          <w:szCs w:val="24"/>
        </w:rPr>
        <w:tab/>
        <w:t>Nuno Cardoso é Coronel de Infantaria Pára Quedista. Participou num total de sete missões no exterior do Território Nacional, servindo em algumas das antigas Repúblicas que integravam a Ex-Jugoslávia, no Iraque, no Líbano e no Afeganistão. Em 2014 foi destacado para o Afeganistão como Comandante do 8º Contingente Nacional e, em acumulação, Assessor Sénior do Comandante da 111º Divisão de Cabul (Exército do Afeganistão). Foi Adido de Defesa Junto da Embaixada de Portugal em Ancara.</w:t>
      </w:r>
    </w:p>
    <w:p w:rsidR="00A427CB" w:rsidRDefault="00A427CB">
      <w:pPr>
        <w:pStyle w:val="PreformattedText"/>
        <w:jc w:val="both"/>
      </w:pPr>
      <w:r>
        <w:rPr>
          <w:sz w:val="24"/>
          <w:szCs w:val="24"/>
        </w:rPr>
        <w:tab/>
        <w:t>Ayscha Hamdani é consultora independente com mais de vinte anos de experiência em desenvolvimento internacional (resolução de conflitos, negociação, mediação, assessoria política e desenvolvimento estratégico) tendo trabalhado para a NATO, UE, ONU e várias instituições afegãs. Viveu mais e uma década no Afeganistão e desenvolveu trabalho de campo em todas as províncias com destaque para a protecção dos direitos humanos, com destaque para os direitos das mulheres e crianças. Possui formação universitária  em estudos europeus, sociedade e cultura, análise de conflitos internacionais e estudos da guerra moderna.</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3 de Fevereiro de 2025 </w:t>
      </w:r>
    </w:p>
    <w:p w:rsidR="00A427CB" w:rsidRDefault="00A427CB">
      <w:pPr>
        <w:pStyle w:val="PreformattedText"/>
        <w:jc w:val="both"/>
      </w:pPr>
      <w:r>
        <w:rPr>
          <w:sz w:val="24"/>
          <w:szCs w:val="24"/>
        </w:rPr>
        <w:tab/>
        <w:t xml:space="preserve">18h00 </w:t>
      </w:r>
    </w:p>
    <w:p w:rsidR="00A427CB" w:rsidRDefault="00A427CB">
      <w:pPr>
        <w:pStyle w:val="PreformattedText"/>
        <w:jc w:val="both"/>
      </w:pPr>
      <w:r>
        <w:rPr>
          <w:sz w:val="24"/>
          <w:szCs w:val="24"/>
        </w:rPr>
        <w:tab/>
      </w:r>
      <w:r>
        <w:rPr>
          <w:b/>
          <w:bCs/>
          <w:sz w:val="24"/>
          <w:szCs w:val="24"/>
        </w:rPr>
        <w:t xml:space="preserve">Ameaças assimétricas e difusas: o caso da pirataria. </w:t>
      </w:r>
    </w:p>
    <w:p w:rsidR="00A427CB" w:rsidRDefault="00A427CB">
      <w:pPr>
        <w:pStyle w:val="PreformattedText"/>
        <w:jc w:val="both"/>
      </w:pPr>
      <w:r>
        <w:rPr>
          <w:sz w:val="24"/>
          <w:szCs w:val="24"/>
        </w:rPr>
        <w:tab/>
        <w:t>Moderador:</w:t>
      </w:r>
      <w:r>
        <w:rPr>
          <w:color w:val="0070C0"/>
          <w:sz w:val="24"/>
        </w:rPr>
        <w:t xml:space="preserve"> </w:t>
      </w:r>
      <w:r>
        <w:rPr>
          <w:color w:val="000000"/>
          <w:sz w:val="24"/>
        </w:rPr>
        <w:t xml:space="preserve">Major-general Nuno Lemos Pires, Diretor-Geral de Política de Defesa Nacional, Investigador do CEI-IUL e Professor na Academia Militar. Doutor em História, Defesa e Relações Internacionais. Foi </w:t>
      </w:r>
      <w:r>
        <w:rPr>
          <w:i/>
          <w:color w:val="000000"/>
          <w:sz w:val="24"/>
        </w:rPr>
        <w:t>Intelligence Officer</w:t>
      </w:r>
      <w:r>
        <w:rPr>
          <w:color w:val="000000"/>
          <w:sz w:val="24"/>
        </w:rPr>
        <w:t xml:space="preserve"> no NATO/</w:t>
      </w:r>
      <w:r>
        <w:rPr>
          <w:i/>
          <w:color w:val="000000"/>
          <w:sz w:val="24"/>
        </w:rPr>
        <w:t>Rapid Deployable Corps</w:t>
      </w:r>
      <w:r>
        <w:rPr>
          <w:color w:val="000000"/>
          <w:sz w:val="24"/>
        </w:rPr>
        <w:t xml:space="preserve"> em Espanha, Assistente Militar do Comandante do NATO/</w:t>
      </w:r>
      <w:r>
        <w:rPr>
          <w:i/>
          <w:color w:val="000000"/>
          <w:sz w:val="24"/>
        </w:rPr>
        <w:t>Joint Command Lisbon,</w:t>
      </w:r>
      <w:r>
        <w:rPr>
          <w:color w:val="000000"/>
          <w:sz w:val="24"/>
        </w:rPr>
        <w:t xml:space="preserve"> Comandante da Força da Missão de Treino da União Europeia em Moçambique (EUTM – Moz), e 2.º comandante e Diretor de Ensino da Academia Militar. Ao longo da sua carreira, e entre outras demais instituições que integrou, conta ainda com a participação em diversas missões, nacionais e internacionais, entre as quais em Moçambique, Angola, Paquistão e Afeganistão. </w:t>
      </w:r>
    </w:p>
    <w:p w:rsidR="00A427CB" w:rsidRDefault="00A427CB">
      <w:pPr>
        <w:pStyle w:val="PreformattedText"/>
        <w:jc w:val="both"/>
      </w:pPr>
      <w:r>
        <w:rPr>
          <w:sz w:val="24"/>
          <w:szCs w:val="24"/>
        </w:rPr>
        <w:tab/>
        <w:t xml:space="preserve">Mestre Alexandra von Böhm-Amolly, Licenciatura e Mestrado em Direito pela Faculdade de Direito da Universidade de Lisboa, com admissão a Doutoramento em Direito Internacional Marítimo na mesma Faculdade; Pós-graduação em Shipping Business pelo IME (Instituto Marítimo Español), Madrid; Pós-graduação em Cultura Árabe-Islâmica pela Universidade Autónoma Luís de Camões, Lisboa; Auditora do Curso de Defesa Nacional de 2007, Instituto da Defesa Nacional, MDN. </w:t>
      </w:r>
    </w:p>
    <w:p w:rsidR="00A427CB" w:rsidRDefault="00A427CB">
      <w:pPr>
        <w:pStyle w:val="PreformattedText"/>
        <w:jc w:val="both"/>
      </w:pPr>
      <w:r>
        <w:rPr>
          <w:sz w:val="24"/>
          <w:szCs w:val="24"/>
        </w:rPr>
        <w:tab/>
        <w:t xml:space="preserve">António Gonçalves Alexandre é capitão-de-mar-e-guerra da Marinha Portuguesa, na situação de reserva. Participou em inúmeras operações militares, sobretudo da NATO, destacando-se as operações </w:t>
      </w:r>
      <w:r>
        <w:rPr>
          <w:i/>
          <w:iCs/>
          <w:sz w:val="24"/>
          <w:szCs w:val="24"/>
        </w:rPr>
        <w:t>Sharp Vigilance</w:t>
      </w:r>
      <w:r>
        <w:rPr>
          <w:sz w:val="24"/>
          <w:szCs w:val="24"/>
        </w:rPr>
        <w:t xml:space="preserve"> e </w:t>
      </w:r>
      <w:r>
        <w:rPr>
          <w:i/>
          <w:iCs/>
          <w:sz w:val="24"/>
          <w:szCs w:val="24"/>
        </w:rPr>
        <w:t>Sharp Guard</w:t>
      </w:r>
      <w:r>
        <w:rPr>
          <w:sz w:val="24"/>
          <w:szCs w:val="24"/>
        </w:rPr>
        <w:t xml:space="preserve">, de embargo à ex-Jugoslávia, no Mar Adriático, em 1992 e 1996, respetivamente, e a operação </w:t>
      </w:r>
      <w:r>
        <w:rPr>
          <w:i/>
          <w:iCs/>
          <w:sz w:val="24"/>
          <w:szCs w:val="24"/>
        </w:rPr>
        <w:t>Active Endeavour</w:t>
      </w:r>
      <w:r>
        <w:rPr>
          <w:sz w:val="24"/>
          <w:szCs w:val="24"/>
        </w:rPr>
        <w:t xml:space="preserve">, em 2002, no Mar Mediterrâneo Central e Oriental, contra o terrorismo marítimo. Comandou a fragata Corte-Real entre 2008 e 2010, e em 2009 o navio participou na operação </w:t>
      </w:r>
      <w:r>
        <w:rPr>
          <w:i/>
          <w:iCs/>
          <w:sz w:val="24"/>
          <w:szCs w:val="24"/>
        </w:rPr>
        <w:t>Allied Protector</w:t>
      </w:r>
      <w:r>
        <w:rPr>
          <w:sz w:val="24"/>
          <w:szCs w:val="24"/>
        </w:rPr>
        <w:t xml:space="preserve"> de combate à pirataria marítima na região do Corno de África, como navio-almirante do comandante do </w:t>
      </w:r>
      <w:r>
        <w:rPr>
          <w:i/>
          <w:iCs/>
          <w:sz w:val="24"/>
          <w:szCs w:val="24"/>
        </w:rPr>
        <w:t>Standing Naval Maritime Group One</w:t>
      </w:r>
      <w:r>
        <w:rPr>
          <w:sz w:val="24"/>
          <w:szCs w:val="24"/>
        </w:rPr>
        <w:t xml:space="preserve">. Entre 2014 e 2015 foi </w:t>
      </w:r>
      <w:r>
        <w:rPr>
          <w:rFonts w:ascii="Segoe UI" w:eastAsia="Calibri" w:hAnsi="Segoe UI" w:cs="Segoe UI"/>
          <w:sz w:val="23"/>
          <w:szCs w:val="23"/>
          <w:lang w:bidi="ar-SA"/>
        </w:rPr>
        <w:t xml:space="preserve">comandante da Força Naval Portuguesa. </w:t>
      </w:r>
    </w:p>
    <w:p w:rsidR="00A427CB" w:rsidRDefault="00A427CB">
      <w:pPr>
        <w:pStyle w:val="PreformattedText"/>
        <w:jc w:val="both"/>
        <w:rPr>
          <w:sz w:val="24"/>
          <w:szCs w:val="24"/>
        </w:rPr>
      </w:pPr>
    </w:p>
    <w:p w:rsidR="00A427CB" w:rsidRDefault="00A427CB">
      <w:pPr>
        <w:pStyle w:val="PreformattedText"/>
        <w:jc w:val="both"/>
        <w:rPr>
          <w:sz w:val="24"/>
          <w:szCs w:val="24"/>
        </w:rPr>
      </w:pPr>
    </w:p>
    <w:p w:rsidR="00A427CB" w:rsidRDefault="00A427CB">
      <w:pPr>
        <w:pStyle w:val="PreformattedText"/>
        <w:jc w:val="both"/>
      </w:pPr>
      <w:r>
        <w:rPr>
          <w:b/>
          <w:bCs/>
          <w:sz w:val="24"/>
          <w:szCs w:val="24"/>
        </w:rPr>
        <w:tab/>
        <w:t>D. Simulação de uma situação de conflito envolvendo a violação de normas de Direito internacional Humanitário.</w:t>
      </w:r>
    </w:p>
    <w:p w:rsidR="00A427CB" w:rsidRDefault="00A427CB">
      <w:pPr>
        <w:pStyle w:val="PreformattedText"/>
        <w:jc w:val="both"/>
        <w:rPr>
          <w:sz w:val="24"/>
          <w:szCs w:val="24"/>
        </w:rPr>
      </w:pPr>
    </w:p>
    <w:p w:rsidR="00A427CB" w:rsidRDefault="00A427CB">
      <w:pPr>
        <w:pStyle w:val="PreformattedText"/>
        <w:jc w:val="both"/>
      </w:pPr>
      <w:r>
        <w:rPr>
          <w:sz w:val="24"/>
          <w:szCs w:val="24"/>
        </w:rPr>
        <w:tab/>
        <w:t>10 de Fevereiro de 2025</w:t>
      </w:r>
    </w:p>
    <w:p w:rsidR="00A427CB" w:rsidRDefault="00A427CB">
      <w:pPr>
        <w:pStyle w:val="PreformattedText"/>
        <w:jc w:val="both"/>
      </w:pPr>
      <w:r>
        <w:rPr>
          <w:sz w:val="24"/>
          <w:szCs w:val="24"/>
        </w:rPr>
        <w:tab/>
        <w:t xml:space="preserve">Caso prático (grupos de 10 alunos com distribuição de papéis e obrigação de chegar uma </w:t>
      </w:r>
    </w:p>
    <w:p w:rsidR="00A427CB" w:rsidRDefault="00A427CB">
      <w:pPr>
        <w:pStyle w:val="PreformattedText"/>
        <w:jc w:val="both"/>
      </w:pPr>
      <w:r>
        <w:rPr>
          <w:sz w:val="24"/>
          <w:szCs w:val="24"/>
        </w:rPr>
        <w:t xml:space="preserve">solução negociada ou “judicializada”). </w:t>
      </w:r>
    </w:p>
    <w:p w:rsidR="00A427CB" w:rsidRDefault="00A427CB">
      <w:pPr>
        <w:pStyle w:val="PreformattedText"/>
        <w:jc w:val="both"/>
        <w:rPr>
          <w:sz w:val="24"/>
          <w:szCs w:val="24"/>
        </w:rPr>
      </w:pPr>
    </w:p>
    <w:p w:rsidR="00A427CB" w:rsidRDefault="00A427CB">
      <w:pPr>
        <w:pStyle w:val="PreformattedText"/>
        <w:jc w:val="both"/>
        <w:rPr>
          <w:sz w:val="24"/>
          <w:szCs w:val="24"/>
        </w:rPr>
      </w:pPr>
    </w:p>
    <w:p w:rsidR="00A427CB" w:rsidRDefault="00A427CB">
      <w:pPr>
        <w:pStyle w:val="PreformattedText"/>
        <w:jc w:val="both"/>
      </w:pPr>
      <w:r>
        <w:rPr>
          <w:b/>
          <w:bCs/>
          <w:sz w:val="24"/>
          <w:szCs w:val="24"/>
        </w:rPr>
        <w:tab/>
        <w:t xml:space="preserve">Informações: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 Inscrições no Instituto Europeu, até ao dia 6 de Setembro de 2024.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O Curso realiza-se no período de 9 de Setembro de 2024 a 10 de Fevereiro de 2025, das 18h00 às 19h30 e das 19h45 às 21h15, com excepção das sessões indicadas neste programa.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Ficam ressalvadas eventuais alterações ao programa. </w:t>
      </w:r>
    </w:p>
    <w:p w:rsidR="00A427CB" w:rsidRDefault="00A427CB">
      <w:pPr>
        <w:pStyle w:val="PreformattedText"/>
        <w:jc w:val="both"/>
        <w:rPr>
          <w:sz w:val="24"/>
          <w:szCs w:val="24"/>
        </w:rPr>
      </w:pPr>
    </w:p>
    <w:p w:rsidR="00A427CB" w:rsidRDefault="00A427CB">
      <w:pPr>
        <w:pStyle w:val="PreformattedText"/>
        <w:jc w:val="both"/>
      </w:pPr>
      <w:r>
        <w:rPr>
          <w:sz w:val="24"/>
          <w:szCs w:val="24"/>
        </w:rPr>
        <w:tab/>
        <w:t>Local: Nas instalações do Instituto da Defesa Nacional em Lisboa (Calçada das Necessidades, 5) e, em simultâneo, no Porto (Castelo da Foz, Esplanada do Castelo).</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Propina: €1 100 (primeira prestação de €500 paga no acto de inscrição, segunda prestação no valor de €300 paga até 15 de Dezembro 2024 e última prestação no valor de €300 paga até 5 de Fevereiro de 2025).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Redução de 5% no valor total do curso para quem efectuar o pagamento integral do curso no acto da inscrição; para ex-alunos do ICJP, do IE, do IDEFF e do IDN.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Redução de 25% para ex-alunos do Curso pós-graduado em Direito da Defesa Nacional. </w:t>
      </w:r>
    </w:p>
    <w:p w:rsidR="00A427CB" w:rsidRDefault="00A427CB">
      <w:pPr>
        <w:pStyle w:val="PreformattedText"/>
        <w:jc w:val="both"/>
        <w:rPr>
          <w:sz w:val="24"/>
          <w:szCs w:val="24"/>
        </w:rPr>
      </w:pPr>
    </w:p>
    <w:p w:rsidR="00A427CB" w:rsidRDefault="00A427CB">
      <w:pPr>
        <w:pStyle w:val="PreformattedText"/>
        <w:jc w:val="both"/>
      </w:pPr>
      <w:r>
        <w:rPr>
          <w:sz w:val="24"/>
          <w:szCs w:val="24"/>
        </w:rPr>
        <w:tab/>
        <w:t>Nota: os descontos não são cumulativos.</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Certificado: será fornecido um certificado de participação aos auditores que participarem </w:t>
      </w:r>
    </w:p>
    <w:p w:rsidR="00A427CB" w:rsidRDefault="00A427CB">
      <w:pPr>
        <w:pStyle w:val="PreformattedText"/>
        <w:jc w:val="both"/>
      </w:pPr>
      <w:r>
        <w:rPr>
          <w:sz w:val="24"/>
          <w:szCs w:val="24"/>
        </w:rPr>
        <w:t xml:space="preserve">em pelo menos 80% dos módulos do curso.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Avaliação, de natureza facultativa: apresentação, nos termos do regulamento de avaliação, de um trabalho escrito final sobre um tema ou sub-tema do Curso. </w:t>
      </w:r>
    </w:p>
    <w:p w:rsidR="00A427CB" w:rsidRDefault="00A427CB">
      <w:pPr>
        <w:pStyle w:val="PreformattedText"/>
        <w:jc w:val="both"/>
      </w:pPr>
      <w:r>
        <w:rPr>
          <w:sz w:val="24"/>
          <w:szCs w:val="24"/>
        </w:rPr>
        <w:t xml:space="preserve">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Contactos para Inscrições: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Instituto Europeu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Telefone: 217 933 250 </w:t>
      </w:r>
    </w:p>
    <w:p w:rsidR="00A427CB" w:rsidRDefault="00A427CB">
      <w:pPr>
        <w:pStyle w:val="PreformattedText"/>
        <w:jc w:val="both"/>
        <w:rPr>
          <w:sz w:val="24"/>
          <w:szCs w:val="24"/>
        </w:rPr>
      </w:pPr>
    </w:p>
    <w:p w:rsidR="00A427CB" w:rsidRDefault="00A427CB">
      <w:pPr>
        <w:pStyle w:val="PreformattedText"/>
        <w:jc w:val="both"/>
      </w:pPr>
      <w:r>
        <w:rPr>
          <w:sz w:val="24"/>
          <w:szCs w:val="24"/>
        </w:rPr>
        <w:tab/>
        <w:t xml:space="preserve">E-mail: </w:t>
      </w:r>
      <w:hyperlink r:id="rId6" w:history="1">
        <w:r w:rsidR="009068B6" w:rsidRPr="009732BC">
          <w:rPr>
            <w:rStyle w:val="Hyperlink"/>
            <w:sz w:val="24"/>
            <w:szCs w:val="24"/>
            <w:lang w:val="pt-PT" w:eastAsia="pt-PT" w:bidi="pt-PT"/>
          </w:rPr>
          <w:t>institutoeuropeu@fd.ulisboa.pt</w:t>
        </w:r>
      </w:hyperlink>
      <w:r w:rsidR="009068B6">
        <w:rPr>
          <w:sz w:val="24"/>
          <w:szCs w:val="24"/>
        </w:rPr>
        <w:t xml:space="preserve"> </w:t>
      </w:r>
    </w:p>
    <w:p w:rsidR="00A427CB" w:rsidRDefault="00A427CB">
      <w:pPr>
        <w:pStyle w:val="PreformattedText"/>
        <w:jc w:val="both"/>
        <w:rPr>
          <w:sz w:val="24"/>
          <w:szCs w:val="24"/>
        </w:rPr>
      </w:pPr>
    </w:p>
    <w:p w:rsidR="00A427CB" w:rsidRDefault="00A427CB">
      <w:pPr>
        <w:pStyle w:val="PreformattedText"/>
        <w:jc w:val="both"/>
      </w:pPr>
      <w:r>
        <w:rPr>
          <w:sz w:val="24"/>
          <w:szCs w:val="24"/>
        </w:rPr>
        <w:tab/>
      </w:r>
      <w:hyperlink r:id="rId7" w:history="1">
        <w:r w:rsidR="009068B6" w:rsidRPr="009732BC">
          <w:rPr>
            <w:rStyle w:val="Hyperlink"/>
            <w:sz w:val="24"/>
            <w:szCs w:val="24"/>
            <w:lang w:val="pt-PT" w:eastAsia="pt-PT" w:bidi="pt-PT"/>
          </w:rPr>
          <w:t>www.facebook.com/institutoeuropeu.fdul</w:t>
        </w:r>
      </w:hyperlink>
      <w:r w:rsidR="009068B6">
        <w:rPr>
          <w:sz w:val="24"/>
          <w:szCs w:val="24"/>
        </w:rPr>
        <w:t xml:space="preserve"> </w:t>
      </w:r>
    </w:p>
    <w:p w:rsidR="00A427CB" w:rsidRDefault="00A427CB">
      <w:pPr>
        <w:pStyle w:val="PreformattedText"/>
        <w:jc w:val="both"/>
        <w:rPr>
          <w:sz w:val="24"/>
          <w:szCs w:val="24"/>
        </w:rPr>
      </w:pPr>
    </w:p>
    <w:p w:rsidR="00A427CB" w:rsidRDefault="00A427CB">
      <w:pPr>
        <w:pStyle w:val="PreformattedText"/>
        <w:jc w:val="both"/>
      </w:pPr>
      <w:r>
        <w:rPr>
          <w:sz w:val="24"/>
          <w:szCs w:val="24"/>
        </w:rPr>
        <w:tab/>
      </w:r>
      <w:hyperlink r:id="rId8" w:history="1">
        <w:r w:rsidR="009068B6" w:rsidRPr="009732BC">
          <w:rPr>
            <w:rStyle w:val="Hyperlink"/>
            <w:sz w:val="24"/>
            <w:szCs w:val="24"/>
            <w:lang w:val="pt-PT" w:eastAsia="pt-PT" w:bidi="pt-PT"/>
          </w:rPr>
          <w:t>www.institutoeuropeu.eu</w:t>
        </w:r>
      </w:hyperlink>
      <w:r w:rsidR="009068B6">
        <w:rPr>
          <w:sz w:val="24"/>
          <w:szCs w:val="24"/>
        </w:rPr>
        <w:t xml:space="preserve"> </w:t>
      </w:r>
    </w:p>
    <w:p w:rsidR="00A427CB" w:rsidRDefault="00A427CB">
      <w:pPr>
        <w:pStyle w:val="PreformattedText"/>
        <w:jc w:val="both"/>
        <w:rPr>
          <w:sz w:val="24"/>
          <w:szCs w:val="24"/>
        </w:rPr>
      </w:pPr>
    </w:p>
    <w:sectPr w:rsidR="00A427CB">
      <w:headerReference w:type="default" r:id="rId9"/>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7CB" w:rsidRDefault="00A427CB" w:rsidP="009068B6">
      <w:r>
        <w:separator/>
      </w:r>
    </w:p>
  </w:endnote>
  <w:endnote w:type="continuationSeparator" w:id="0">
    <w:p w:rsidR="00A427CB" w:rsidRDefault="00A427CB" w:rsidP="00906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nt230">
    <w:altName w:val="Yu Gothic"/>
    <w:charset w:val="8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7CB" w:rsidRDefault="00A427CB" w:rsidP="009068B6">
      <w:r>
        <w:separator/>
      </w:r>
    </w:p>
  </w:footnote>
  <w:footnote w:type="continuationSeparator" w:id="0">
    <w:p w:rsidR="00A427CB" w:rsidRDefault="00A427CB" w:rsidP="00906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jc w:val="center"/>
      <w:tblLook w:val="04A0" w:firstRow="1" w:lastRow="0" w:firstColumn="1" w:lastColumn="0" w:noHBand="0" w:noVBand="1"/>
    </w:tblPr>
    <w:tblGrid>
      <w:gridCol w:w="5256"/>
      <w:gridCol w:w="2386"/>
      <w:gridCol w:w="3132"/>
    </w:tblGrid>
    <w:tr w:rsidR="009068B6" w:rsidTr="00A427CB">
      <w:trPr>
        <w:jc w:val="center"/>
      </w:trPr>
      <w:tc>
        <w:tcPr>
          <w:tcW w:w="5257" w:type="dxa"/>
          <w:shd w:val="clear" w:color="auto" w:fill="auto"/>
        </w:tcPr>
        <w:p w:rsidR="009068B6" w:rsidRDefault="009068B6" w:rsidP="009068B6">
          <w:pPr>
            <w:pStyle w:val="Header"/>
          </w:pPr>
          <w:r w:rsidRPr="00B40C2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alt="Uma imagem com texto, Tipo de letra, branco, tipografia&#10;&#10;Descrição gerada automaticamente" style="width:208.5pt;height:58.5pt;visibility:visible">
                <v:imagedata r:id="rId1" o:title="Uma imagem com texto, Tipo de letra, branco, tipografia&#10;&#10;Descrição gerada automaticamente"/>
              </v:shape>
            </w:pict>
          </w:r>
        </w:p>
      </w:tc>
      <w:tc>
        <w:tcPr>
          <w:tcW w:w="2384" w:type="dxa"/>
          <w:shd w:val="clear" w:color="auto" w:fill="auto"/>
        </w:tcPr>
        <w:p w:rsidR="009068B6" w:rsidRDefault="009068B6" w:rsidP="00A427CB">
          <w:pPr>
            <w:pStyle w:val="Header"/>
            <w:jc w:val="center"/>
          </w:pPr>
          <w:r>
            <w:rPr>
              <w:noProof/>
            </w:rPr>
            <w:pict>
              <v:shape id="Imagem 4" o:spid="_x0000_s1025" type="#_x0000_t75" style="position:absolute;left:0;text-align:left;margin-left:-41.1pt;margin-top:-3.9pt;width:108.35pt;height:87.15pt;z-index:251657728;visibility:visible;mso-position-horizontal-relative:text;mso-position-vertical-relative:text" wrapcoords="-150 0 -150 21414 21600 21414 21600 0 -150 0">
                <v:imagedata r:id="rId2" o:title=""/>
                <w10:wrap type="tight"/>
              </v:shape>
            </w:pict>
          </w:r>
        </w:p>
      </w:tc>
      <w:tc>
        <w:tcPr>
          <w:tcW w:w="3133" w:type="dxa"/>
          <w:shd w:val="clear" w:color="auto" w:fill="auto"/>
        </w:tcPr>
        <w:p w:rsidR="009068B6" w:rsidRDefault="009068B6" w:rsidP="00A427CB">
          <w:pPr>
            <w:pStyle w:val="Header"/>
            <w:jc w:val="right"/>
          </w:pPr>
          <w:r w:rsidRPr="00B40C20">
            <w:rPr>
              <w:noProof/>
            </w:rPr>
            <w:pict>
              <v:shape id="_x0000_i1026" type="#_x0000_t75" alt="Ir para a página de entrada do Portal do Instituto da Defesa Nacional" style="width:130.5pt;height:51.75pt;visibility:visible">
                <v:imagedata r:id="rId3" o:title="Ir para a página de entrada do Portal do Instituto da Defesa Nacional"/>
              </v:shape>
            </w:pict>
          </w:r>
        </w:p>
      </w:tc>
    </w:tr>
  </w:tbl>
  <w:p w:rsidR="009068B6" w:rsidRDefault="009068B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8B6"/>
    <w:rsid w:val="009068B6"/>
    <w:rsid w:val="009D5F2F"/>
    <w:rsid w:val="00A42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oNotEmbedSmartTags/>
  <w:decimalSymbol w:val="."/>
  <w:listSeparator w:val=","/>
  <w15:chartTrackingRefBased/>
  <w15:docId w15:val="{FA87CC99-FE0A-49A8-927A-51684277C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Arial Unicode MS" w:cs="Arial Unicode MS"/>
      <w:sz w:val="24"/>
      <w:szCs w:val="24"/>
      <w:lang w:val="pt-PT" w:eastAsia="pt-PT" w:bidi="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PreformattedText">
    <w:name w:val="Preformatted Text"/>
    <w:basedOn w:val="Normal"/>
    <w:rPr>
      <w:rFonts w:eastAsia="Times New Roman" w:cs="Times New Roman"/>
      <w:sz w:val="20"/>
      <w:szCs w:val="20"/>
    </w:rPr>
  </w:style>
  <w:style w:type="paragraph" w:styleId="Header">
    <w:name w:val="header"/>
    <w:basedOn w:val="Normal"/>
    <w:link w:val="HeaderChar"/>
    <w:uiPriority w:val="99"/>
    <w:unhideWhenUsed/>
    <w:rsid w:val="009068B6"/>
    <w:pPr>
      <w:tabs>
        <w:tab w:val="center" w:pos="4252"/>
        <w:tab w:val="right" w:pos="8504"/>
      </w:tabs>
    </w:pPr>
  </w:style>
  <w:style w:type="character" w:customStyle="1" w:styleId="HeaderChar">
    <w:name w:val="Header Char"/>
    <w:link w:val="Header"/>
    <w:uiPriority w:val="99"/>
    <w:rsid w:val="009068B6"/>
    <w:rPr>
      <w:rFonts w:eastAsia="Arial Unicode MS" w:cs="Arial Unicode MS"/>
      <w:sz w:val="24"/>
      <w:szCs w:val="24"/>
      <w:lang w:bidi="pt-PT"/>
    </w:rPr>
  </w:style>
  <w:style w:type="paragraph" w:styleId="Footer">
    <w:name w:val="footer"/>
    <w:basedOn w:val="Normal"/>
    <w:link w:val="FooterChar"/>
    <w:uiPriority w:val="99"/>
    <w:unhideWhenUsed/>
    <w:rsid w:val="009068B6"/>
    <w:pPr>
      <w:tabs>
        <w:tab w:val="center" w:pos="4252"/>
        <w:tab w:val="right" w:pos="8504"/>
      </w:tabs>
    </w:pPr>
  </w:style>
  <w:style w:type="character" w:customStyle="1" w:styleId="FooterChar">
    <w:name w:val="Footer Char"/>
    <w:link w:val="Footer"/>
    <w:uiPriority w:val="99"/>
    <w:rsid w:val="009068B6"/>
    <w:rPr>
      <w:rFonts w:eastAsia="Arial Unicode MS" w:cs="Arial Unicode MS"/>
      <w:sz w:val="24"/>
      <w:szCs w:val="24"/>
      <w:lang w:bidi="pt-PT"/>
    </w:rPr>
  </w:style>
  <w:style w:type="table" w:styleId="TableGrid">
    <w:name w:val="Table Grid"/>
    <w:basedOn w:val="TableNormal"/>
    <w:uiPriority w:val="39"/>
    <w:rsid w:val="00906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NoResolvida">
    <w:name w:val="Menção Não Resolvida"/>
    <w:uiPriority w:val="99"/>
    <w:semiHidden/>
    <w:unhideWhenUsed/>
    <w:rsid w:val="00906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oeuropeu.eu" TargetMode="External"/><Relationship Id="rId3" Type="http://schemas.openxmlformats.org/officeDocument/2006/relationships/webSettings" Target="webSettings.xml"/><Relationship Id="rId7" Type="http://schemas.openxmlformats.org/officeDocument/2006/relationships/hyperlink" Target="http://www.facebook.com/institutoeuropeu.fdu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stitutoeuropeu@fd.ulisboa.p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2347</Words>
  <Characters>13382</Characters>
  <Application>Microsoft Office Word</Application>
  <DocSecurity>4</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15698</CharactersWithSpaces>
  <SharedDoc>false</SharedDoc>
  <HLinks>
    <vt:vector size="18" baseType="variant">
      <vt:variant>
        <vt:i4>6684733</vt:i4>
      </vt:variant>
      <vt:variant>
        <vt:i4>6</vt:i4>
      </vt:variant>
      <vt:variant>
        <vt:i4>0</vt:i4>
      </vt:variant>
      <vt:variant>
        <vt:i4>5</vt:i4>
      </vt:variant>
      <vt:variant>
        <vt:lpwstr>http://www.institutoeuropeu.eu/</vt:lpwstr>
      </vt:variant>
      <vt:variant>
        <vt:lpwstr/>
      </vt:variant>
      <vt:variant>
        <vt:i4>5636098</vt:i4>
      </vt:variant>
      <vt:variant>
        <vt:i4>3</vt:i4>
      </vt:variant>
      <vt:variant>
        <vt:i4>0</vt:i4>
      </vt:variant>
      <vt:variant>
        <vt:i4>5</vt:i4>
      </vt:variant>
      <vt:variant>
        <vt:lpwstr>http://www.facebook.com/institutoeuropeu.fdul</vt:lpwstr>
      </vt:variant>
      <vt:variant>
        <vt:lpwstr/>
      </vt:variant>
      <vt:variant>
        <vt:i4>4128852</vt:i4>
      </vt:variant>
      <vt:variant>
        <vt:i4>0</vt:i4>
      </vt:variant>
      <vt:variant>
        <vt:i4>0</vt:i4>
      </vt:variant>
      <vt:variant>
        <vt:i4>5</vt:i4>
      </vt:variant>
      <vt:variant>
        <vt:lpwstr>mailto:institutoeuropeu@fd.ulisboa.pt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icjp</dc:creator>
  <cp:keywords/>
  <cp:lastModifiedBy>word</cp:lastModifiedBy>
  <cp:revision>2</cp:revision>
  <cp:lastPrinted>2024-04-19T11:10:00Z</cp:lastPrinted>
  <dcterms:created xsi:type="dcterms:W3CDTF">2024-04-19T14:19:00Z</dcterms:created>
  <dcterms:modified xsi:type="dcterms:W3CDTF">2024-04-19T14:19:00Z</dcterms:modified>
</cp:coreProperties>
</file>